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8B" w:rsidRPr="004B76C2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АНАЛІЗ РЕГУЛЯТОРНОГО ВПЛИВУ</w:t>
      </w:r>
    </w:p>
    <w:p w:rsidR="005C398B" w:rsidRPr="004B76C2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до проекту рішення Хмільницької сільської ради «Про встановлення та затвердження місц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евих податків та зборів » на 2020</w:t>
      </w:r>
      <w:r w:rsidRPr="004B76C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рік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Цей аналіз регуляторного  впливу розроблений відповідно до вимог Закону України від11.09.2003 № 1160-ІУ «Про засади державної регуляторної політики у сфері господарської діяльності», постанови Кабінету Міністрів України від 11.03.2004 № 308 «Про затвердження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методик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проведення аналізу впливу та відстеження результативності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» зі змінами, внесеними постановою Кабінету Міністрів України від 16.12.2015 № 1151 та Податкового кодексу України від 02.12.2010 № 2755-УІ (із змінами і доповненнями).</w:t>
      </w:r>
    </w:p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Pr="004B76C2" w:rsidRDefault="005C398B" w:rsidP="005C398B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Додаток 1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до Методики проведення </w:t>
      </w:r>
    </w:p>
    <w:p w:rsidR="005C398B" w:rsidRPr="004B76C2" w:rsidRDefault="005C398B" w:rsidP="005C398B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аналізу впливу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</w:p>
    <w:p w:rsidR="005C398B" w:rsidRPr="004B76C2" w:rsidRDefault="005C398B" w:rsidP="005C398B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398B" w:rsidRPr="004B76C2" w:rsidRDefault="005C398B" w:rsidP="005C398B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1.Визначення  проблеми</w:t>
      </w:r>
    </w:p>
    <w:p w:rsidR="005C398B" w:rsidRPr="004B76C2" w:rsidRDefault="005C398B" w:rsidP="005C398B">
      <w:pPr>
        <w:spacing w:after="15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Стаття 10 Податкового кодексу України  визначає вичерпний перелік місцевих податків та зборів, порядок їх адміністрування, врегулювання  відносин, що виникають в процесі встановлення та скасування податків і зборів.                                                          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 відповідності до статті 69 Бюджетного кодексу України від 08.07.2010 року № 2456-УІ,  змін, внесених до Податкового кодексу України  Законами України  від 20.12.2016 року № 1791-VІІІ «Про внесення змін до Податкового Кодексу України та деяких законодавчих актів України щодо забезпечення збалансованості бюджетних  надходжень у 2018 році» та від  21.12.2016 року № 1797-VІІІ «Про внесення змін до Податкового кодексу України щодо покращення інвестиційного клімату в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Україні»та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зв’язку із оприлюдненням проекту постанови Кабінету Міністрів України «Про затвердження Типового рішення про встановлення місцевих податків і зборів, Типового положення про оподаткування платою за землю, Типового положення про оподаткування податком на нерухоме майно, відмінне від земельної ділянки», виникла необхідність прийняття рішення «Про встановлення місцевих податків і зборів» за новою типовою формою.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 Рішення про встановлення місцевих податків та зборів є нормативно-правовим актом, який офіційно оприлюднюється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період).В іншому разі норми відповідних рішень застосовуються не раніше початку бюджетного періоду, що настає за плановим періодом. У разі якщо сільська рада не прийняла рішення, що є обов’язковими згідно з нормами  Кодексу, такі податки до прийняття рішення справляються виходячи з норм  Податкового кодексу із застосуванням їх мінімальних ставок, а плата за землю буде справляться із застосуванням ставок, які діяли до 31 грудня року, що передує бюджетному, в якому планується застосування плати за землю.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Запропонованим проектом рішення «Про встановлення та затвердження місцевих податків і зборів» на 2019 рік ставки податків, запроваджених на  території 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Хмільницької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сільської ради  у 2018 році для фізичних осіб та суб'єктів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господарювання,залишаються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без змін, крім ставки земельного податку</w:t>
      </w:r>
      <w:r w:rsidRPr="004B76C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за земельні ділянки, нормативно грошова</w:t>
      </w:r>
      <w:r w:rsidRPr="004B76C2">
        <w:rPr>
          <w:rFonts w:ascii="Times New Roman" w:hAnsi="Times New Roman"/>
          <w:sz w:val="24"/>
          <w:szCs w:val="24"/>
        </w:rPr>
        <w:t xml:space="preserve"> оцінка, яких не проведена </w:t>
      </w:r>
      <w:r w:rsidRPr="004B76C2">
        <w:rPr>
          <w:rFonts w:ascii="Times New Roman" w:hAnsi="Times New Roman"/>
          <w:b/>
          <w:sz w:val="24"/>
          <w:szCs w:val="24"/>
        </w:rPr>
        <w:t xml:space="preserve">(земельні паї  виділені в натурі приєднані до земельних ділянок для ведення особистого селянського господарства, та земельні ділянки для ведення </w:t>
      </w:r>
      <w:r w:rsidRPr="004B76C2">
        <w:rPr>
          <w:rFonts w:ascii="Times New Roman" w:hAnsi="Times New Roman"/>
          <w:b/>
          <w:sz w:val="24"/>
          <w:szCs w:val="24"/>
        </w:rPr>
        <w:lastRenderedPageBreak/>
        <w:t xml:space="preserve">особистого </w:t>
      </w:r>
      <w:proofErr w:type="spellStart"/>
      <w:r w:rsidRPr="004B76C2">
        <w:rPr>
          <w:rFonts w:ascii="Times New Roman" w:hAnsi="Times New Roman"/>
          <w:b/>
          <w:sz w:val="24"/>
          <w:szCs w:val="24"/>
        </w:rPr>
        <w:t>селянськогогосподарства</w:t>
      </w:r>
      <w:proofErr w:type="spellEnd"/>
      <w:r w:rsidRPr="004B76C2">
        <w:rPr>
          <w:rFonts w:ascii="Times New Roman" w:hAnsi="Times New Roman"/>
          <w:b/>
          <w:sz w:val="24"/>
          <w:szCs w:val="24"/>
        </w:rPr>
        <w:t xml:space="preserve">, грошова оцінка земельних ділянок, яких не проведена, встановлюється у розмірі 0,3% за </w:t>
      </w:r>
      <w:smartTag w:uri="urn:schemas-microsoft-com:office:smarttags" w:element="metricconverter">
        <w:smartTagPr>
          <w:attr w:name="ProductID" w:val="1 га"/>
        </w:smartTagPr>
        <w:r w:rsidRPr="004B76C2">
          <w:rPr>
            <w:rFonts w:ascii="Times New Roman" w:hAnsi="Times New Roman"/>
            <w:b/>
            <w:sz w:val="24"/>
            <w:szCs w:val="24"/>
          </w:rPr>
          <w:t>1 га</w:t>
        </w:r>
      </w:smartTag>
      <w:r w:rsidRPr="004B76C2">
        <w:rPr>
          <w:rFonts w:ascii="Times New Roman" w:hAnsi="Times New Roman"/>
          <w:b/>
          <w:sz w:val="24"/>
          <w:szCs w:val="24"/>
        </w:rPr>
        <w:t>, враховуючи нормативно-грошову оцінку одиниці площі ріллі по області).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В  результаті внесених законодавством змін щодо збільшення розміру мінімальної заробітної плати, встановленої законом на 1 січня звітного (податкового) року, при незмінних ставках податків, надходження по єдиному податку та податку на нерухоме майно, відмінне від земельної ділянки  в 20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20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році збільшується. Збільшення  плати  за  землю для земель сільськогосподарського призначення збільшить надходження.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Загалом, прийняття даного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забезпечить збільшення надходжень місцевих податків до  сільського бюджету.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Основні групи, на які проблема має вплив:</w:t>
      </w:r>
    </w:p>
    <w:tbl>
      <w:tblPr>
        <w:tblpPr w:leftFromText="45" w:rightFromText="45" w:bottomFromText="300" w:vertAnchor="text"/>
        <w:tblW w:w="1225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68"/>
        <w:gridCol w:w="4657"/>
        <w:gridCol w:w="3130"/>
      </w:tblGrid>
      <w:tr w:rsidR="005C398B" w:rsidRPr="004B76C2" w:rsidTr="000865F0">
        <w:trPr>
          <w:trHeight w:val="300"/>
        </w:trPr>
        <w:tc>
          <w:tcPr>
            <w:tcW w:w="35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Групи</w:t>
            </w:r>
          </w:p>
        </w:tc>
        <w:tc>
          <w:tcPr>
            <w:tcW w:w="370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249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5C398B" w:rsidRPr="004B76C2" w:rsidTr="000865F0">
        <w:trPr>
          <w:trHeight w:val="184"/>
        </w:trPr>
        <w:tc>
          <w:tcPr>
            <w:tcW w:w="35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98B" w:rsidRPr="004B76C2" w:rsidTr="000865F0">
        <w:trPr>
          <w:trHeight w:val="1125"/>
        </w:trPr>
        <w:tc>
          <w:tcPr>
            <w:tcW w:w="35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Громадяни</w:t>
            </w:r>
          </w:p>
        </w:tc>
        <w:tc>
          <w:tcPr>
            <w:tcW w:w="370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відсутність коштів сільського бюджету не дозволяє виконувати бюджетні програми в повному обсязі</w:t>
            </w:r>
          </w:p>
        </w:tc>
        <w:tc>
          <w:tcPr>
            <w:tcW w:w="249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98B" w:rsidRPr="004B76C2" w:rsidTr="000865F0">
        <w:trPr>
          <w:trHeight w:val="1966"/>
        </w:trPr>
        <w:tc>
          <w:tcPr>
            <w:tcW w:w="35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70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недотримання соціальних стандартів, неможливість забезпечити якісний рівень життя призведе до підвищення рівня соціальної напруги, виникнення політичної та соціальної нестабільності в суспільстві </w:t>
            </w:r>
          </w:p>
        </w:tc>
        <w:tc>
          <w:tcPr>
            <w:tcW w:w="249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98B" w:rsidRPr="004B76C2" w:rsidTr="000865F0">
        <w:trPr>
          <w:trHeight w:val="585"/>
        </w:trPr>
        <w:tc>
          <w:tcPr>
            <w:tcW w:w="35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Суб’єкти господарювання,</w:t>
            </w:r>
          </w:p>
        </w:tc>
        <w:tc>
          <w:tcPr>
            <w:tcW w:w="370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Сплата податку  в розмірах, встановлених сільською радою</w:t>
            </w:r>
          </w:p>
        </w:tc>
        <w:tc>
          <w:tcPr>
            <w:tcW w:w="249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98B" w:rsidRPr="004B76C2" w:rsidTr="000865F0">
        <w:trPr>
          <w:trHeight w:val="690"/>
        </w:trPr>
        <w:tc>
          <w:tcPr>
            <w:tcW w:w="35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у тому числі суб’єкти малого підприємництва</w:t>
            </w:r>
          </w:p>
        </w:tc>
        <w:tc>
          <w:tcPr>
            <w:tcW w:w="370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r w:rsidRPr="004B76C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II. Цілі державного регулювання</w:t>
      </w:r>
    </w:p>
    <w:p w:rsidR="005C398B" w:rsidRPr="004B76C2" w:rsidRDefault="005C398B" w:rsidP="005C398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Проект рішення розроблено з ціллю: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- виконання вимог чинного законодавства;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врегулювання правовідносин між 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Хмільницькою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сільською радою  фізичними особами  та суб’єктами господарювання;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- відкритість процедури, прозорість органу  місцевого  самоврядування при  вирішенні питань, пов’язаних  зі  справлянням  місцевих податків;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- встановлення ставок місцевих податків, які б враховували особливості території, інтереси громадян та дозволили б збільшити надходження до сільського бюджету для виконання Програми соціально – економічного розвитку.</w:t>
      </w:r>
    </w:p>
    <w:p w:rsidR="005C398B" w:rsidRPr="004B76C2" w:rsidRDefault="005C398B" w:rsidP="005C398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5C398B" w:rsidRPr="004B76C2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b/>
          <w:color w:val="333333"/>
          <w:sz w:val="24"/>
          <w:szCs w:val="24"/>
          <w:lang w:eastAsia="ru-RU"/>
        </w:rPr>
        <w:t>III. Визначення та оцінка альтернативних способів досягнення цілей</w:t>
      </w:r>
    </w:p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iCs/>
          <w:color w:val="333333"/>
          <w:sz w:val="24"/>
          <w:szCs w:val="24"/>
          <w:lang w:eastAsia="ru-RU"/>
        </w:rPr>
        <w:t>Визначення альтернативних способів досягнення  цілей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30"/>
        <w:gridCol w:w="6465"/>
      </w:tblGrid>
      <w:tr w:rsidR="005C398B" w:rsidRPr="004B76C2" w:rsidTr="000865F0">
        <w:tc>
          <w:tcPr>
            <w:tcW w:w="378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5C398B" w:rsidRPr="004B76C2" w:rsidTr="000865F0">
        <w:trPr>
          <w:trHeight w:val="5475"/>
        </w:trPr>
        <w:tc>
          <w:tcPr>
            <w:tcW w:w="378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Альтернатива № 1:</w:t>
            </w:r>
          </w:p>
          <w:p w:rsidR="005C398B" w:rsidRPr="004B76C2" w:rsidRDefault="005C398B" w:rsidP="000865F0">
            <w:pPr>
              <w:spacing w:after="15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залишити існуючу на даний момент ситуацію без змін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По закінченню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 рішення має бути скасовано як таке, що не пройшло регуляторну процедуру і не поширюється на подальші періоди.  Рішення не відповідає вимогам проекту постанови «Про затвердження Типового рішення про встановлення місцевих податків і зборів, Типового положення про оподаткування платою за землю, Типового положення про оподаткування податком на нерухоме майно, відмінне від земельної ділянки».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Відповідно до підпункту 12.3.5 пункту 12.3 статті 12 Податкового кодексу податки будуть справлятися із застосуванням мінімальних ставок податку, а плата за землю буде справлятися із застосуванням ставок, які діяли до 31 грудня року, що передує бюджетному, в якому планується застосування плати за землю, що суттєво погіршить надходження до місцевого бюджету.</w:t>
            </w:r>
          </w:p>
        </w:tc>
      </w:tr>
      <w:tr w:rsidR="005C398B" w:rsidRPr="004B76C2" w:rsidTr="000865F0">
        <w:trPr>
          <w:trHeight w:val="2831"/>
        </w:trPr>
        <w:tc>
          <w:tcPr>
            <w:tcW w:w="378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Альтернатива № 2: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Забезпечує досягнення цілей державного регулювання .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Надасть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можливість привести рішення у відповідність до норм Податкового кодексу та проекту постанови . Сприятиме збільшенню надходжень до сільського бюджету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iCs/>
          <w:color w:val="333333"/>
          <w:sz w:val="24"/>
          <w:szCs w:val="24"/>
          <w:lang w:eastAsia="ru-RU"/>
        </w:rPr>
        <w:t>2. Оцінка вибраних альтернативних способів досягнення цілей:</w:t>
      </w:r>
    </w:p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1)Оцінка впливу на сферу інтересів держави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94"/>
        <w:gridCol w:w="3205"/>
        <w:gridCol w:w="4296"/>
      </w:tblGrid>
      <w:tr w:rsidR="005C398B" w:rsidRPr="004B76C2" w:rsidTr="000865F0">
        <w:tc>
          <w:tcPr>
            <w:tcW w:w="253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</w:tr>
      <w:tr w:rsidR="005C398B" w:rsidRPr="004B76C2" w:rsidTr="000865F0">
        <w:trPr>
          <w:trHeight w:val="495"/>
        </w:trPr>
        <w:tc>
          <w:tcPr>
            <w:tcW w:w="253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Альтернатива № 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залишити існуючу на даний момент ситуацію без змін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Можливо, покращиться інвестиційна привабливість території через мінімальні ставки податків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Невиконання вимог чинного  законодавства.  Втрати 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бюджету через  застосування мінімальних ставок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податків,як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 передбачено підпунктом 12.3.5 пункту 12.3 статті 12 Податкового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кодексу,що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суттєво погіршить надходження до сільського бюджету</w:t>
            </w:r>
          </w:p>
        </w:tc>
      </w:tr>
      <w:tr w:rsidR="005C398B" w:rsidRPr="004B76C2" w:rsidTr="000865F0">
        <w:tc>
          <w:tcPr>
            <w:tcW w:w="253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Альтернатива № 2: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Збільшення надходжень до бюджету сільської ради. Підвищення рівня довіри до місцевої влади за причини встановлення доцільних та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обгрунтова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-них розмірів ставок місцевих податків з урахуванням рівня платоспроможності суб’єктів господарювання.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Забезпечує досягнення цілей державного регулювання.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Дозволить наповнювати сільський бюджет власними надходженнями.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Зменшення  надходжень через надання пільг.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Існування ризику переходу діяльності суб’єктів господарювання в «тінь» за причини сплати податків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Витрати, пов'язані з розробкою проекту регуляторного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(витрати робочого часу спеціалістів, пов’язані з підготовкою регуляторного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2)Оцінка впливу на сферу інтересів громадян</w:t>
      </w:r>
    </w:p>
    <w:tbl>
      <w:tblPr>
        <w:tblW w:w="49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75"/>
        <w:gridCol w:w="3089"/>
        <w:gridCol w:w="4439"/>
      </w:tblGrid>
      <w:tr w:rsidR="005C398B" w:rsidRPr="004B76C2" w:rsidTr="000865F0">
        <w:tc>
          <w:tcPr>
            <w:tcW w:w="20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6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</w:tr>
      <w:tr w:rsidR="005C398B" w:rsidRPr="004B76C2" w:rsidTr="000865F0">
        <w:trPr>
          <w:trHeight w:val="2445"/>
        </w:trPr>
        <w:tc>
          <w:tcPr>
            <w:tcW w:w="2070" w:type="dxa"/>
            <w:vMerge w:val="restart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Альтернатива № 1: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залишити існуючу на даний момент ситуацію без змін</w:t>
            </w:r>
          </w:p>
        </w:tc>
        <w:tc>
          <w:tcPr>
            <w:tcW w:w="3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У 2020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році податки будуть сплачуватись за мінімальними ставками</w:t>
            </w:r>
          </w:p>
        </w:tc>
        <w:tc>
          <w:tcPr>
            <w:tcW w:w="6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Втратять пільги соціально незахищені жителі села. Виконання не  в  повній мірі бюджетних програм, відсутність коштів на реалізацію соціальних проектів</w:t>
            </w:r>
          </w:p>
        </w:tc>
      </w:tr>
      <w:tr w:rsidR="005C398B" w:rsidRPr="004B76C2" w:rsidTr="000865F0">
        <w:trPr>
          <w:trHeight w:val="15"/>
        </w:trPr>
        <w:tc>
          <w:tcPr>
            <w:tcW w:w="0" w:type="auto"/>
            <w:vMerge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5C398B" w:rsidRPr="004B76C2" w:rsidRDefault="005C398B" w:rsidP="0008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5C398B" w:rsidRPr="004B76C2" w:rsidRDefault="005C398B" w:rsidP="0008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98B" w:rsidRPr="004B76C2" w:rsidTr="000865F0">
        <w:tc>
          <w:tcPr>
            <w:tcW w:w="20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>Альтернатива № 2: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прийняти регуляторний акт, </w:t>
            </w: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положення якого повністю відповідають вимогам законодавства</w:t>
            </w:r>
          </w:p>
        </w:tc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Звільнення від сплати податків соціально незахищених жителів сільської  ради. Встановлення </w:t>
            </w:r>
            <w:r w:rsidRPr="004B7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додаткових пільг. Отримання  послуг  соціальної сфери та благоустрою</w:t>
            </w:r>
          </w:p>
        </w:tc>
        <w:tc>
          <w:tcPr>
            <w:tcW w:w="6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Більш захищені верстви населення будуть платити податок за ставками згідно рішення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Хмільницької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ради. У разі переходу діяльності суб’єктів господарювання в «тінь» можливе зниження  кількості  робочих місць та  розміру заробітної  плати</w:t>
            </w:r>
          </w:p>
        </w:tc>
      </w:tr>
    </w:tbl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3)Оцінка впливу на сферу інтересів суб'єктів господарювання</w:t>
      </w:r>
    </w:p>
    <w:tbl>
      <w:tblPr>
        <w:tblW w:w="49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33"/>
        <w:gridCol w:w="1400"/>
        <w:gridCol w:w="1484"/>
        <w:gridCol w:w="1374"/>
        <w:gridCol w:w="1348"/>
        <w:gridCol w:w="1560"/>
      </w:tblGrid>
      <w:tr w:rsidR="005C398B" w:rsidRPr="004B76C2" w:rsidTr="000865F0">
        <w:tc>
          <w:tcPr>
            <w:tcW w:w="289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5C398B" w:rsidRPr="004B76C2" w:rsidTr="000865F0">
        <w:tc>
          <w:tcPr>
            <w:tcW w:w="289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суб'єктів, що підпадають під дію регулювання, одиниць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398B" w:rsidRPr="004B76C2" w:rsidTr="000865F0">
        <w:tc>
          <w:tcPr>
            <w:tcW w:w="289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C398B" w:rsidRPr="004B76C2" w:rsidRDefault="005C398B" w:rsidP="005C398B">
      <w:pPr>
        <w:spacing w:before="300" w:after="150" w:line="240" w:lineRule="auto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зв’язку з відсутністю суб'єктів господарювання великого і середнього підприємництва, що підпадають під дію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акту,витрати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  одного суб’єкта господарювання великого і середнього підприємництва, які виникають внаслідок дії регуляторного 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згідно Додатка 2 до Методики проведення аналізу впливу 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 розраховувалися.</w:t>
      </w:r>
    </w:p>
    <w:p w:rsidR="005C398B" w:rsidRPr="004B76C2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44"/>
        <w:gridCol w:w="1931"/>
        <w:gridCol w:w="4820"/>
      </w:tblGrid>
      <w:tr w:rsidR="005C398B" w:rsidRPr="004B76C2" w:rsidTr="000865F0">
        <w:tc>
          <w:tcPr>
            <w:tcW w:w="33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Бал </w:t>
            </w:r>
            <w:proofErr w:type="spellStart"/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результатив-ності</w:t>
            </w:r>
            <w:proofErr w:type="spellEnd"/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(за чотири-бальною </w:t>
            </w:r>
            <w:proofErr w:type="spellStart"/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систе</w:t>
            </w:r>
            <w:proofErr w:type="spellEnd"/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-мою оцінки)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Коментарі щодо присвоєння відповідного </w:t>
            </w:r>
            <w:proofErr w:type="spellStart"/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</w:t>
            </w:r>
            <w:proofErr w:type="spellEnd"/>
          </w:p>
        </w:tc>
      </w:tr>
      <w:tr w:rsidR="005C398B" w:rsidRPr="004B76C2" w:rsidTr="000865F0">
        <w:tc>
          <w:tcPr>
            <w:tcW w:w="33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Альтернатива № 1: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залишити існуючу на даний момент ситуацію без змін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продовжує існувати. Часткове вирішення проблеми. Рішення про встановлення податків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втратить силу 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році для суб’єктів господарювання та  фізичних осіб, які будуть сплачувати податки за мінімальними ставками та втратять додаткові пільги.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Зменшаться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надходження до сільського бюджету</w:t>
            </w:r>
          </w:p>
        </w:tc>
      </w:tr>
      <w:tr w:rsidR="005C398B" w:rsidRPr="004B76C2" w:rsidTr="000865F0">
        <w:trPr>
          <w:trHeight w:val="1965"/>
        </w:trPr>
        <w:tc>
          <w:tcPr>
            <w:tcW w:w="33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Альтернатива № 2: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Затвердження такого регуляторного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забезпечить досягнення встановлених цілей повною мірою. Регуляторний акт відповідає потребам у розв’язанні визначених проблем та принципам державної регуляторної політики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398B" w:rsidRPr="004B76C2" w:rsidRDefault="005C398B" w:rsidP="005C398B">
      <w:pPr>
        <w:spacing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Pr="004B76C2" w:rsidRDefault="005C398B" w:rsidP="005C398B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Рейтинг результативності досягнення цілей</w:t>
      </w:r>
    </w:p>
    <w:p w:rsidR="005C398B" w:rsidRPr="004B76C2" w:rsidRDefault="005C398B" w:rsidP="005C398B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6"/>
        <w:gridCol w:w="1938"/>
        <w:gridCol w:w="4019"/>
        <w:gridCol w:w="2222"/>
      </w:tblGrid>
      <w:tr w:rsidR="005C398B" w:rsidRPr="004B76C2" w:rsidTr="000865F0">
        <w:tc>
          <w:tcPr>
            <w:tcW w:w="228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Рейтинг </w:t>
            </w:r>
            <w:proofErr w:type="spellStart"/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результатив-ності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Вигоди</w:t>
            </w:r>
          </w:p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(підсумок)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5C398B" w:rsidRPr="004B76C2" w:rsidTr="000865F0">
        <w:trPr>
          <w:trHeight w:val="3360"/>
        </w:trPr>
        <w:tc>
          <w:tcPr>
            <w:tcW w:w="228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Альтернатива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№ 1: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залишити існуючу на даний момент ситуацію без змін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Зменшення надходжень у місцевий бюджет.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Втратять пільги соціально незахищені жителі села та окремі суб’єкти господарювання.                    Малозабезпечені верстви населення не спроможні платити великі податки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Останнє місце у рейтингу.   Не враховані зміни.          </w:t>
            </w:r>
            <w:proofErr w:type="spellStart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Зменшаться</w:t>
            </w:r>
            <w:proofErr w:type="spellEnd"/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надходження до сільського бюджету. Підвищення  соціальної напруги</w:t>
            </w:r>
          </w:p>
        </w:tc>
      </w:tr>
      <w:tr w:rsidR="005C398B" w:rsidRPr="004B76C2" w:rsidTr="000865F0">
        <w:tc>
          <w:tcPr>
            <w:tcW w:w="228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Альтернатива № 2: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Додаткові пільги  для  окремих категорій населення  та суб’єктів господарювання.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25 тис. грн.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Суб'єкти господарювання будуть платити пода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 за ставками згідно рішення Хмільницької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  ради.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Зменшення надходжень на суму пільг у місцевий бюджет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Перше місце у рейтингу. Регуляторний акт відповідає потребам у розв’язанні визначеної проблеми та принципам державної регуляторної політики. Збільшення надходжень до сільського бюджету</w:t>
            </w:r>
          </w:p>
        </w:tc>
      </w:tr>
    </w:tbl>
    <w:p w:rsidR="005C398B" w:rsidRPr="004B76C2" w:rsidRDefault="005C398B" w:rsidP="005C398B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br w:type="page"/>
      </w:r>
    </w:p>
    <w:p w:rsidR="005C398B" w:rsidRPr="004B76C2" w:rsidRDefault="005C398B" w:rsidP="005C398B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B76C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Переваги  обраної альтернативи</w:t>
      </w:r>
    </w:p>
    <w:p w:rsidR="005C398B" w:rsidRPr="004B76C2" w:rsidRDefault="005C398B" w:rsidP="005C398B">
      <w:pPr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15"/>
        <w:gridCol w:w="5289"/>
        <w:gridCol w:w="2391"/>
      </w:tblGrid>
      <w:tr w:rsidR="005C398B" w:rsidRPr="004B76C2" w:rsidTr="000865F0">
        <w:tc>
          <w:tcPr>
            <w:tcW w:w="204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7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4B7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  <w:tr w:rsidR="005C398B" w:rsidRPr="004B76C2" w:rsidTr="000865F0">
        <w:trPr>
          <w:trHeight w:val="2190"/>
        </w:trPr>
        <w:tc>
          <w:tcPr>
            <w:tcW w:w="204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Альтернатива№ 1:залишити існуючу на даний момент ситуацію без змін</w:t>
            </w:r>
          </w:p>
        </w:tc>
        <w:tc>
          <w:tcPr>
            <w:tcW w:w="7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Не вибрана – недостатнє наповнення  сільського бюджету. Неповна  реалізація Програми соціально –економічного розвитку сільської  ради</w:t>
            </w:r>
          </w:p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5C398B" w:rsidRPr="004B76C2" w:rsidTr="000865F0">
        <w:tc>
          <w:tcPr>
            <w:tcW w:w="204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Альтернатива № 2:    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7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 Альтернатива є  доцільною –  рішення приведене у відповідність до  норм чинного  законодавства, забезпечує  наповнення  сільського  бюджету, дозволяє реалізувати програму  соціально – економічного розвитку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Зміни у Податковому кодексі України, зниження платоспроможності платників податків, зменшення кількості суб’єктів господарювання. Політична та економічна ситуація в країні</w:t>
            </w:r>
          </w:p>
        </w:tc>
      </w:tr>
    </w:tbl>
    <w:p w:rsidR="005C398B" w:rsidRPr="004B76C2" w:rsidRDefault="005C398B" w:rsidP="005C398B">
      <w:pPr>
        <w:spacing w:before="300" w:after="150" w:line="240" w:lineRule="auto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Таким  чином для  реалізації обрано  альтернативу № 2- встановлення  економічно  обґрунтованих розмірів  ставок місцевих податків з метою можливості сплати податків  суб’єктами господарювання та  фізичними особами для наповнення  сільського бюджету.</w:t>
      </w:r>
    </w:p>
    <w:p w:rsidR="005C398B" w:rsidRPr="004B76C2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V. Механізми та заходи, які забезпечать розв'язання визначеної проблеми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Зазначену  проблему планується розв'язати шляхом: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винесення на розгляд Хмільницької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сільської ради проекту рішення «Про встановлення та затвердження місцевих податків і зборів» на 2019 рік;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інформування платників про встановлені пра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вила справляння податків  на 2020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рік;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сприяння веденню підприємницької діяльності суб'єктами господарювання, які є платниками місцевих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податків,з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метою росту рівня їх платоспроможності;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забезпечення надходжень встановлених податків до сільського бюджету.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Принципи та заходи досягнення цілей регулювання: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регулювання побудоване відповідно до принципів державної регуляторної політики, а саме: доцільності, адекватності, передбачуваності, гласності;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відповідність вимогам чинного законодавства України;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державне регулювання здійснюється органом місцевого самоврядування у межах наданих повноважень відповідно до чинного законодавства України;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поєднання місцевих та державних інтересів.</w:t>
      </w:r>
    </w:p>
    <w:p w:rsidR="005C398B" w:rsidRPr="004B76C2" w:rsidRDefault="005C398B" w:rsidP="005C398B">
      <w:pPr>
        <w:spacing w:before="300" w:after="150" w:line="240" w:lineRule="auto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VI. Оцінка виконання вимог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Розрахунок витрат на виконання вимог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для органів місцевого самоврядування згідно з додатком 3 до Методики проведення аналізу впливу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 проводився через відсутність суб’єктів господарювання великого та середнього підприємництва. Проведено розрахунок витрат на запровадження державного регулювання для суб'єктів малого підприємництва - Тест малого підприємництва згідно з додатком 4 до Методики проведення аналізу впливу регуляторного впливу.</w:t>
      </w:r>
    </w:p>
    <w:p w:rsidR="005C398B" w:rsidRPr="004B76C2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VII. Обґрунтування запропонованого строку дії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Зазначений проект  нормативно-правового акту є загальнообов’язковим до застосування  на території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Хмільницької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сільської ради  та  має необмежений термін дії. В разі внесення змін до чинного  законодавства України в частині справляння місцевих податків та зборів, відповідні зміни будуть внесені до даного регуляторного акту.</w:t>
      </w:r>
    </w:p>
    <w:p w:rsidR="005C398B" w:rsidRPr="004B76C2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VIII. Визначення показників результативності дії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</w:p>
    <w:p w:rsidR="005C398B" w:rsidRPr="004B76C2" w:rsidRDefault="005C398B" w:rsidP="005C398B">
      <w:pPr>
        <w:spacing w:after="150" w:line="240" w:lineRule="auto"/>
        <w:ind w:left="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Pr="004B76C2" w:rsidRDefault="005C398B" w:rsidP="005C398B">
      <w:pPr>
        <w:spacing w:after="0" w:line="240" w:lineRule="auto"/>
        <w:ind w:left="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  бюджету.</w:t>
      </w:r>
    </w:p>
    <w:p w:rsidR="005C398B" w:rsidRPr="004B76C2" w:rsidRDefault="005C398B" w:rsidP="005C398B">
      <w:pPr>
        <w:spacing w:after="0" w:line="240" w:lineRule="auto"/>
        <w:ind w:left="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Розмір надходжень до державного га місцевих бюджетів інших рівнів, пов’язаних з прийняттям зазначеного проекту рішення, не зміниться.</w:t>
      </w:r>
    </w:p>
    <w:p w:rsidR="005C398B" w:rsidRPr="004B76C2" w:rsidRDefault="005C398B" w:rsidP="005C398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Дія регуляторного акту поширюється на </w:t>
      </w:r>
      <w:r w:rsidRPr="004B76C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2 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суб’єкти господарювання. В результаті прийняття рішення, додаткові надходження до сільського бюджету складуть 34,5</w:t>
      </w:r>
      <w:r w:rsidRPr="004B76C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тис. грн.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Проект рішення оприлюднюється в Інтернеті на  сайті Чернігівської районної ради  та розміщується на інформаційному стенді у приміщенні сільської ради.</w:t>
      </w:r>
    </w:p>
    <w:p w:rsidR="005C398B" w:rsidRPr="004B76C2" w:rsidRDefault="005C398B" w:rsidP="005C398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Pr="004B76C2" w:rsidRDefault="005C398B" w:rsidP="005C398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Виходячи з цілей державного регулювання, визначених у другому розділі АРВ, для відстеження результативності цього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обрано такі прогнозні статистичні показники:</w:t>
      </w:r>
    </w:p>
    <w:p w:rsidR="005C398B" w:rsidRPr="004B76C2" w:rsidRDefault="005C398B" w:rsidP="005C398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тис.грн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tbl>
      <w:tblPr>
        <w:tblW w:w="122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64"/>
        <w:gridCol w:w="1843"/>
        <w:gridCol w:w="6748"/>
      </w:tblGrid>
      <w:tr w:rsidR="005C398B" w:rsidRPr="004B76C2" w:rsidTr="000865F0">
        <w:tc>
          <w:tcPr>
            <w:tcW w:w="366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Назва показника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(очікувані)</w:t>
            </w:r>
          </w:p>
        </w:tc>
        <w:tc>
          <w:tcPr>
            <w:tcW w:w="6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  <w:p w:rsidR="005C398B" w:rsidRPr="004B76C2" w:rsidRDefault="005C398B" w:rsidP="0008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(очікувані у зв'язку </w:t>
            </w:r>
          </w:p>
          <w:p w:rsidR="005C398B" w:rsidRPr="004B76C2" w:rsidRDefault="005C398B" w:rsidP="0008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з прийняттям рішення)</w:t>
            </w:r>
          </w:p>
        </w:tc>
      </w:tr>
      <w:tr w:rsidR="005C398B" w:rsidRPr="004B76C2" w:rsidTr="000865F0">
        <w:tc>
          <w:tcPr>
            <w:tcW w:w="366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Податок на нерухоме майно, відмінне  від земельної ділянки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180,4</w:t>
            </w:r>
          </w:p>
        </w:tc>
      </w:tr>
      <w:tr w:rsidR="005C398B" w:rsidRPr="004B76C2" w:rsidTr="000865F0">
        <w:tc>
          <w:tcPr>
            <w:tcW w:w="366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Плата за землю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5C398B" w:rsidRPr="004B76C2" w:rsidTr="000865F0">
        <w:tc>
          <w:tcPr>
            <w:tcW w:w="366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sz w:val="24"/>
                <w:szCs w:val="24"/>
                <w:lang w:eastAsia="ru-RU"/>
              </w:rPr>
              <w:t>Єдиний податок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98B" w:rsidRPr="004B76C2" w:rsidRDefault="005C398B" w:rsidP="000865F0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</w:tbl>
    <w:p w:rsidR="005C398B" w:rsidRPr="004B76C2" w:rsidRDefault="005C398B" w:rsidP="005C398B">
      <w:pPr>
        <w:spacing w:before="300" w:after="150" w:line="240" w:lineRule="auto"/>
        <w:jc w:val="center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</w:p>
    <w:p w:rsidR="005C398B" w:rsidRPr="004B76C2" w:rsidRDefault="005C398B" w:rsidP="005C398B">
      <w:pPr>
        <w:spacing w:after="150" w:line="240" w:lineRule="auto"/>
        <w:ind w:left="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C398B" w:rsidRPr="004B76C2" w:rsidRDefault="005C398B" w:rsidP="005C398B">
      <w:pPr>
        <w:spacing w:after="150" w:line="240" w:lineRule="auto"/>
        <w:ind w:left="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Оцінка ефективності регуляторного акту буде здійснена за допомогою  проведення базового, повторного та періодичного відстеження результативності регуляторного акту.</w:t>
      </w:r>
    </w:p>
    <w:p w:rsidR="005C398B" w:rsidRPr="004B76C2" w:rsidRDefault="005C398B" w:rsidP="005C398B">
      <w:pPr>
        <w:spacing w:after="150" w:line="240" w:lineRule="auto"/>
        <w:ind w:left="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Джерелами інформації для відстеження результативності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будуть фактичні дані  Чернігівської ОДПІ ГУ ДФС  у Чернігівській області.</w:t>
      </w:r>
    </w:p>
    <w:p w:rsidR="005C398B" w:rsidRPr="004B76C2" w:rsidRDefault="005C398B" w:rsidP="005C398B">
      <w:pPr>
        <w:spacing w:after="150" w:line="240" w:lineRule="auto"/>
        <w:ind w:left="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Базове відстеження результативності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здійснюватиметься через півроку після набрання чинності регуляторного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C398B" w:rsidRPr="004B76C2" w:rsidRDefault="005C398B" w:rsidP="005C398B">
      <w:pPr>
        <w:spacing w:after="150" w:line="240" w:lineRule="auto"/>
        <w:ind w:left="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Повторне відстеження плануються здійснити через рік після набуття чинності  регуляторного 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C398B" w:rsidRPr="004B76C2" w:rsidRDefault="005C398B" w:rsidP="005C398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Періодичне відстеження буде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здійснюватись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раз на кожні три роки, починаючи з дня закінчення заходів з повторного відстеження результативності цього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C398B" w:rsidRPr="004B76C2" w:rsidRDefault="005C398B" w:rsidP="005C398B">
      <w:pPr>
        <w:spacing w:after="150" w:line="240" w:lineRule="auto"/>
        <w:ind w:left="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 рамках статистичного методу відстеження аналіз офіційної статистичної інформації  буде проводитися щодо розміру надходжень до сільського       бюджету та кількості осіб, на яких поширюватиметься дія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акта</w:t>
      </w:r>
      <w:proofErr w:type="spellEnd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C398B" w:rsidRDefault="005C398B" w:rsidP="005C398B"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Секретар сільської ради                                                    Л.І. </w:t>
      </w:r>
      <w:proofErr w:type="spellStart"/>
      <w:r w:rsidRPr="004B76C2">
        <w:rPr>
          <w:rFonts w:ascii="Times New Roman" w:hAnsi="Times New Roman"/>
          <w:color w:val="333333"/>
          <w:sz w:val="24"/>
          <w:szCs w:val="24"/>
          <w:lang w:eastAsia="ru-RU"/>
        </w:rPr>
        <w:t>Алейник</w:t>
      </w:r>
      <w:proofErr w:type="spellEnd"/>
    </w:p>
    <w:sectPr w:rsidR="005C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8B"/>
    <w:rsid w:val="005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2490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2019-06-11T12:50:00Z</dcterms:created>
  <dcterms:modified xsi:type="dcterms:W3CDTF">2019-06-11T12:58:00Z</dcterms:modified>
</cp:coreProperties>
</file>